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SZKOLNY ZESTAW PODRĘCZNIKÓW I POMOCY EDUKACYJNYCH</w:t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Szkoła Przysposabiająca do Pracy</w:t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Specjalny Ośrodek Szkolno-Wychowawczy Nr 1 </w:t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Rok szkolny 2026/2027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tbl>
      <w:tblPr>
        <w:tblStyle w:val="a"/>
        <w:tblW w:w="5000" w:type="pct"/>
        <w:jc w:val="center"/>
        <w:tblInd w:w="0" w:type="dxa"/>
        <w:tblLayout w:type="fixed"/>
        <w:tblCellMar>
          <w:top w:w="0" w:type="dxa"/>
          <w:start w:w="100" w:type="dxa"/>
          <w:bottom w:w="0" w:type="dxa"/>
          <w:end w:w="100" w:type="dxa"/>
        </w:tblCellMar>
        <w:tblLook w:val="0600" w:firstRow="0" w:noVBand="1" w:lastRow="0" w:firstColumn="0" w:lastColumn="0" w:noHBand="1"/>
      </w:tblPr>
      <w:tblGrid>
        <w:gridCol w:w="2214"/>
        <w:gridCol w:w="5143"/>
        <w:gridCol w:w="1669"/>
      </w:tblGrid>
      <w:tr>
        <w:trPr>
          <w:trHeight w:val="1456" w:hRule="atLeast"/>
        </w:trPr>
        <w:tc>
          <w:tcPr>
            <w:tcW w:w="9026" w:type="dxa"/>
            <w:gridSpan w:val="3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  <w:p>
            <w:pPr>
              <w:pStyle w:val="Normal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KLASY 1, 2, 3</w:t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  <w:p>
            <w:pPr>
              <w:pStyle w:val="Normal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Uczniowie klas pierwszych </w:t>
            </w:r>
            <w:r>
              <w:rPr>
                <w:rFonts w:ascii="Times New Roman" w:hAnsi="Times New Roman"/>
              </w:rPr>
              <w:t xml:space="preserve">(wybór podręczników z zestawu we wrześniu 2027 r. nastąpi  po dokonaniu </w:t>
            </w:r>
            <w:r>
              <w:rPr>
                <w:rFonts w:ascii="Times New Roman" w:hAnsi="Times New Roman"/>
              </w:rPr>
              <w:t>w</w:t>
            </w:r>
            <w:r>
              <w:rPr>
                <w:rFonts w:ascii="Times New Roman" w:hAnsi="Times New Roman"/>
              </w:rPr>
              <w:t>ielospecjalistycznej oceny funkcjonowania ucznia).</w:t>
            </w:r>
          </w:p>
          <w:p>
            <w:pPr>
              <w:pStyle w:val="Normal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</w:tr>
      <w:tr>
        <w:trPr>
          <w:trHeight w:val="566" w:hRule="atLeast"/>
        </w:trPr>
        <w:tc>
          <w:tcPr>
            <w:tcW w:w="221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Autor</w:t>
            </w:r>
          </w:p>
        </w:tc>
        <w:tc>
          <w:tcPr>
            <w:tcW w:w="5143" w:type="dxa"/>
            <w:tcBorders>
              <w:top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Tytuł</w:t>
            </w:r>
          </w:p>
        </w:tc>
        <w:tc>
          <w:tcPr>
            <w:tcW w:w="1669" w:type="dxa"/>
            <w:tcBorders>
              <w:top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Wydawnictwo</w:t>
            </w:r>
          </w:p>
        </w:tc>
      </w:tr>
      <w:tr>
        <w:trPr>
          <w:trHeight w:val="825" w:hRule="atLeast"/>
        </w:trPr>
        <w:tc>
          <w:tcPr>
            <w:tcW w:w="2214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hyperlink r:id="rId2">
              <w:r>
                <w:rPr>
                  <w:rStyle w:val="Style3"/>
                  <w:rFonts w:cs="Times New Roman" w:ascii="Times New Roman" w:hAnsi="Times New Roman"/>
                  <w:u w:val="single"/>
                </w:rPr>
                <w:t>Irena Zarzycka</w:t>
              </w:r>
            </w:hyperlink>
            <w:r>
              <w:rPr>
                <w:rFonts w:cs="Times New Roman" w:ascii="Times New Roman" w:hAnsi="Times New Roman"/>
              </w:rPr>
              <w:t xml:space="preserve"> </w:t>
            </w:r>
          </w:p>
          <w:p>
            <w:pPr>
              <w:pStyle w:val="Normal"/>
              <w:rPr/>
            </w:pPr>
            <w:hyperlink r:id="rId3">
              <w:r>
                <w:rPr>
                  <w:rStyle w:val="Style3"/>
                  <w:rFonts w:cs="Times New Roman" w:ascii="Times New Roman" w:hAnsi="Times New Roman"/>
                </w:rPr>
                <w:t>Kinga Preibisz-Wala</w:t>
              </w:r>
            </w:hyperlink>
          </w:p>
          <w:p>
            <w:pPr>
              <w:pStyle w:val="Normal"/>
              <w:rPr/>
            </w:pPr>
            <w:hyperlink r:id="rId4">
              <w:r>
                <w:rPr>
                  <w:rStyle w:val="Style3"/>
                  <w:rFonts w:cs="Times New Roman" w:ascii="Times New Roman" w:hAnsi="Times New Roman"/>
                  <w:u w:val="single"/>
                </w:rPr>
                <w:t>Ewa Schumacher</w:t>
              </w:r>
            </w:hyperlink>
          </w:p>
        </w:tc>
        <w:tc>
          <w:tcPr>
            <w:tcW w:w="5143" w:type="dxa"/>
            <w:tcBorders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Szkolni Przyjaciele, edukacja wczesnoszkolna  Podręcznik 1-4.   Klasa 1</w:t>
            </w:r>
          </w:p>
        </w:tc>
        <w:tc>
          <w:tcPr>
            <w:tcW w:w="1669" w:type="dxa"/>
            <w:tcBorders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WSiP</w:t>
            </w:r>
          </w:p>
        </w:tc>
      </w:tr>
      <w:tr>
        <w:trPr>
          <w:trHeight w:val="825" w:hRule="atLeast"/>
        </w:trPr>
        <w:tc>
          <w:tcPr>
            <w:tcW w:w="2214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</w:rPr>
              <w:t xml:space="preserve"> </w:t>
            </w:r>
            <w:hyperlink r:id="rId5">
              <w:r>
                <w:rPr>
                  <w:rStyle w:val="Style3"/>
                  <w:rFonts w:cs="Times New Roman" w:ascii="Times New Roman" w:hAnsi="Times New Roman"/>
                </w:rPr>
                <w:t>Irena Zarzycka</w:t>
              </w:r>
            </w:hyperlink>
            <w:r>
              <w:rPr>
                <w:rFonts w:cs="Times New Roman" w:ascii="Times New Roman" w:hAnsi="Times New Roman"/>
              </w:rPr>
              <w:t xml:space="preserve"> </w:t>
            </w:r>
          </w:p>
          <w:p>
            <w:pPr>
              <w:pStyle w:val="Normal"/>
              <w:rPr/>
            </w:pPr>
            <w:hyperlink r:id="rId6">
              <w:r>
                <w:rPr>
                  <w:rStyle w:val="Style3"/>
                  <w:rFonts w:cs="Times New Roman" w:ascii="Times New Roman" w:hAnsi="Times New Roman"/>
                </w:rPr>
                <w:t>Kinga Preibisz-Wala</w:t>
              </w:r>
            </w:hyperlink>
          </w:p>
          <w:p>
            <w:pPr>
              <w:pStyle w:val="Normal"/>
              <w:rPr/>
            </w:pPr>
            <w:hyperlink r:id="rId7">
              <w:r>
                <w:rPr>
                  <w:rStyle w:val="Style3"/>
                  <w:rFonts w:cs="Times New Roman" w:ascii="Times New Roman" w:hAnsi="Times New Roman"/>
                </w:rPr>
                <w:t>Ewa Schumacher</w:t>
              </w:r>
            </w:hyperlink>
          </w:p>
        </w:tc>
        <w:tc>
          <w:tcPr>
            <w:tcW w:w="5143" w:type="dxa"/>
            <w:tcBorders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 xml:space="preserve">Szkolni Przyjaciele, edukacja wczesnoszkolna   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Karty ćwiczeń 1-4.   Klasa 1</w:t>
            </w:r>
          </w:p>
        </w:tc>
        <w:tc>
          <w:tcPr>
            <w:tcW w:w="1669" w:type="dxa"/>
            <w:tcBorders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WSiP</w:t>
            </w:r>
          </w:p>
        </w:tc>
      </w:tr>
      <w:tr>
        <w:trPr>
          <w:trHeight w:val="825" w:hRule="atLeast"/>
        </w:trPr>
        <w:tc>
          <w:tcPr>
            <w:tcW w:w="2214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hyperlink r:id="rId8">
              <w:r>
                <w:rPr>
                  <w:rStyle w:val="Style3"/>
                  <w:rFonts w:cs="Times New Roman" w:ascii="Times New Roman" w:hAnsi="Times New Roman"/>
                </w:rPr>
                <w:t>Kamila Łyczek</w:t>
              </w:r>
            </w:hyperlink>
            <w:r>
              <w:rPr>
                <w:rFonts w:cs="Times New Roman" w:ascii="Times New Roman" w:hAnsi="Times New Roman"/>
              </w:rPr>
              <w:t>,</w:t>
            </w:r>
          </w:p>
          <w:p>
            <w:pPr>
              <w:pStyle w:val="Normal"/>
              <w:rPr/>
            </w:pPr>
            <w:hyperlink r:id="rId9">
              <w:r>
                <w:rPr>
                  <w:rStyle w:val="Style3"/>
                  <w:rFonts w:cs="Times New Roman" w:ascii="Times New Roman" w:hAnsi="Times New Roman"/>
                </w:rPr>
                <w:t>Aneta Chankowska</w:t>
              </w:r>
            </w:hyperlink>
          </w:p>
        </w:tc>
        <w:tc>
          <w:tcPr>
            <w:tcW w:w="5143" w:type="dxa"/>
            <w:tcBorders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 xml:space="preserve">Szkolni Przyjaciele, edukacja wczesnoszkolna     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Matematyka. Karty ćwiczeń 1,2.   Klasa 1</w:t>
            </w:r>
          </w:p>
        </w:tc>
        <w:tc>
          <w:tcPr>
            <w:tcW w:w="1669" w:type="dxa"/>
            <w:tcBorders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WSiP</w:t>
            </w:r>
          </w:p>
        </w:tc>
      </w:tr>
      <w:tr>
        <w:trPr>
          <w:trHeight w:val="825" w:hRule="atLeast"/>
        </w:trPr>
        <w:tc>
          <w:tcPr>
            <w:tcW w:w="2214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hyperlink r:id="rId10">
              <w:r>
                <w:rPr>
                  <w:rStyle w:val="Style3"/>
                  <w:rFonts w:cs="Times New Roman" w:ascii="Times New Roman" w:hAnsi="Times New Roman"/>
                </w:rPr>
                <w:t>Irena Zarzycka</w:t>
              </w:r>
            </w:hyperlink>
            <w:r>
              <w:rPr>
                <w:rFonts w:cs="Times New Roman" w:ascii="Times New Roman" w:hAnsi="Times New Roman"/>
              </w:rPr>
              <w:t xml:space="preserve"> </w:t>
            </w:r>
          </w:p>
          <w:p>
            <w:pPr>
              <w:pStyle w:val="Normal"/>
              <w:rPr/>
            </w:pPr>
            <w:hyperlink r:id="rId11">
              <w:r>
                <w:rPr>
                  <w:rStyle w:val="Style3"/>
                  <w:rFonts w:cs="Times New Roman" w:ascii="Times New Roman" w:hAnsi="Times New Roman"/>
                </w:rPr>
                <w:t>Kinga Preibisz-Wala</w:t>
              </w:r>
            </w:hyperlink>
          </w:p>
          <w:p>
            <w:pPr>
              <w:pStyle w:val="Normal"/>
              <w:rPr/>
            </w:pPr>
            <w:hyperlink r:id="rId12">
              <w:r>
                <w:rPr>
                  <w:rStyle w:val="Style3"/>
                  <w:rFonts w:cs="Times New Roman" w:ascii="Times New Roman" w:hAnsi="Times New Roman"/>
                </w:rPr>
                <w:t>Ewa Schumacher</w:t>
              </w:r>
            </w:hyperlink>
          </w:p>
        </w:tc>
        <w:tc>
          <w:tcPr>
            <w:tcW w:w="5143" w:type="dxa"/>
            <w:tcBorders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 xml:space="preserve">Szkolni Przyjaciele, edukacja wczesnoszkolna     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Podręcznik 1-4.   Klasa 2</w:t>
            </w:r>
          </w:p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669" w:type="dxa"/>
            <w:tcBorders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WSiP</w:t>
            </w:r>
          </w:p>
        </w:tc>
      </w:tr>
      <w:tr>
        <w:trPr>
          <w:trHeight w:val="1095" w:hRule="atLeast"/>
        </w:trPr>
        <w:tc>
          <w:tcPr>
            <w:tcW w:w="2214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</w:rPr>
              <w:t xml:space="preserve"> </w:t>
            </w:r>
            <w:hyperlink r:id="rId13">
              <w:r>
                <w:rPr>
                  <w:rStyle w:val="Style3"/>
                  <w:rFonts w:cs="Times New Roman" w:ascii="Times New Roman" w:hAnsi="Times New Roman"/>
                </w:rPr>
                <w:t>Irena Zarzycka</w:t>
              </w:r>
            </w:hyperlink>
            <w:r>
              <w:rPr>
                <w:rFonts w:cs="Times New Roman" w:ascii="Times New Roman" w:hAnsi="Times New Roman"/>
              </w:rPr>
              <w:t xml:space="preserve"> </w:t>
            </w:r>
          </w:p>
          <w:p>
            <w:pPr>
              <w:pStyle w:val="Normal"/>
              <w:rPr/>
            </w:pPr>
            <w:hyperlink r:id="rId14">
              <w:r>
                <w:rPr>
                  <w:rStyle w:val="Style3"/>
                  <w:rFonts w:cs="Times New Roman" w:ascii="Times New Roman" w:hAnsi="Times New Roman"/>
                </w:rPr>
                <w:t>Kinga Preibisz-Wala</w:t>
              </w:r>
            </w:hyperlink>
          </w:p>
          <w:p>
            <w:pPr>
              <w:pStyle w:val="Normal"/>
              <w:rPr/>
            </w:pPr>
            <w:hyperlink r:id="rId15">
              <w:r>
                <w:rPr>
                  <w:rStyle w:val="Style3"/>
                  <w:rFonts w:cs="Times New Roman" w:ascii="Times New Roman" w:hAnsi="Times New Roman"/>
                </w:rPr>
                <w:t>Ewa Schumacher</w:t>
              </w:r>
            </w:hyperlink>
          </w:p>
          <w:p>
            <w:pPr>
              <w:pStyle w:val="Normal"/>
              <w:rPr/>
            </w:pPr>
            <w:hyperlink r:id="rId16">
              <w:r>
                <w:rPr>
                  <w:rStyle w:val="Style3"/>
                  <w:rFonts w:cs="Times New Roman" w:ascii="Times New Roman" w:hAnsi="Times New Roman"/>
                  <w:u w:val="single"/>
                </w:rPr>
                <w:t>Jadwiga Hanisz</w:t>
              </w:r>
            </w:hyperlink>
          </w:p>
        </w:tc>
        <w:tc>
          <w:tcPr>
            <w:tcW w:w="5143" w:type="dxa"/>
            <w:tcBorders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 xml:space="preserve">Szkolni Przyjaciele, edukacja wczesnoszkolna     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Karty ćwiczeń 1-4.   Klasa 2</w:t>
            </w:r>
          </w:p>
        </w:tc>
        <w:tc>
          <w:tcPr>
            <w:tcW w:w="1669" w:type="dxa"/>
            <w:tcBorders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WSiP</w:t>
            </w:r>
          </w:p>
        </w:tc>
      </w:tr>
      <w:tr>
        <w:trPr>
          <w:trHeight w:val="825" w:hRule="atLeast"/>
        </w:trPr>
        <w:tc>
          <w:tcPr>
            <w:tcW w:w="2214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hyperlink r:id="rId17">
              <w:r>
                <w:rPr>
                  <w:rStyle w:val="Style3"/>
                  <w:rFonts w:cs="Times New Roman" w:ascii="Times New Roman" w:hAnsi="Times New Roman"/>
                </w:rPr>
                <w:t>Kamila Łyczek</w:t>
              </w:r>
            </w:hyperlink>
            <w:r>
              <w:rPr>
                <w:rFonts w:cs="Times New Roman" w:ascii="Times New Roman" w:hAnsi="Times New Roman"/>
              </w:rPr>
              <w:t>,</w:t>
            </w:r>
          </w:p>
          <w:p>
            <w:pPr>
              <w:pStyle w:val="Normal"/>
              <w:rPr/>
            </w:pPr>
            <w:hyperlink r:id="rId18">
              <w:r>
                <w:rPr>
                  <w:rStyle w:val="Style3"/>
                  <w:rFonts w:cs="Times New Roman" w:ascii="Times New Roman" w:hAnsi="Times New Roman"/>
                </w:rPr>
                <w:t>Aneta Chankowska</w:t>
              </w:r>
            </w:hyperlink>
          </w:p>
        </w:tc>
        <w:tc>
          <w:tcPr>
            <w:tcW w:w="5143" w:type="dxa"/>
            <w:tcBorders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 xml:space="preserve">Szkolni Przyjaciele, edukacja wczesnoszkolna     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Matematyka. Karty ćwiczeń 1,2.   Klasa 2</w:t>
            </w:r>
          </w:p>
        </w:tc>
        <w:tc>
          <w:tcPr>
            <w:tcW w:w="1669" w:type="dxa"/>
            <w:tcBorders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WSiP</w:t>
            </w:r>
          </w:p>
        </w:tc>
      </w:tr>
      <w:tr>
        <w:trPr>
          <w:trHeight w:val="555" w:hRule="atLeast"/>
        </w:trPr>
        <w:tc>
          <w:tcPr>
            <w:tcW w:w="2214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Monika Pouch,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Dorota Szczęsna</w:t>
            </w:r>
          </w:p>
        </w:tc>
        <w:tc>
          <w:tcPr>
            <w:tcW w:w="5143" w:type="dxa"/>
            <w:tcBorders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Pewny Start. Moja codzienność  - jesień</w:t>
            </w:r>
          </w:p>
        </w:tc>
        <w:tc>
          <w:tcPr>
            <w:tcW w:w="1669" w:type="dxa"/>
            <w:tcBorders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PWN</w:t>
            </w:r>
          </w:p>
        </w:tc>
      </w:tr>
      <w:tr>
        <w:trPr>
          <w:trHeight w:val="555" w:hRule="atLeast"/>
        </w:trPr>
        <w:tc>
          <w:tcPr>
            <w:tcW w:w="2214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Monika Pouch,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Dorota Szczęsna</w:t>
            </w:r>
          </w:p>
        </w:tc>
        <w:tc>
          <w:tcPr>
            <w:tcW w:w="5143" w:type="dxa"/>
            <w:tcBorders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Pewny Start. Moja codzienność  - zima</w:t>
            </w:r>
          </w:p>
        </w:tc>
        <w:tc>
          <w:tcPr>
            <w:tcW w:w="1669" w:type="dxa"/>
            <w:tcBorders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PWN</w:t>
            </w:r>
          </w:p>
        </w:tc>
      </w:tr>
      <w:tr>
        <w:trPr>
          <w:trHeight w:val="555" w:hRule="atLeast"/>
        </w:trPr>
        <w:tc>
          <w:tcPr>
            <w:tcW w:w="2214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Monika Pouch,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Dorota Szczęsna</w:t>
            </w:r>
          </w:p>
        </w:tc>
        <w:tc>
          <w:tcPr>
            <w:tcW w:w="5143" w:type="dxa"/>
            <w:tcBorders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Pewny Start. Moja codzienność  - wiosna, lato</w:t>
            </w:r>
          </w:p>
        </w:tc>
        <w:tc>
          <w:tcPr>
            <w:tcW w:w="1669" w:type="dxa"/>
            <w:tcBorders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PWN</w:t>
            </w:r>
          </w:p>
        </w:tc>
      </w:tr>
      <w:tr>
        <w:trPr>
          <w:trHeight w:val="555" w:hRule="atLeast"/>
        </w:trPr>
        <w:tc>
          <w:tcPr>
            <w:tcW w:w="2214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Praca Zbiorowa</w:t>
            </w:r>
          </w:p>
        </w:tc>
        <w:tc>
          <w:tcPr>
            <w:tcW w:w="5143" w:type="dxa"/>
            <w:tcBorders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Pewny start. Wokół pór roku – wokół jesieni</w:t>
            </w:r>
          </w:p>
        </w:tc>
        <w:tc>
          <w:tcPr>
            <w:tcW w:w="1669" w:type="dxa"/>
            <w:tcBorders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PWN</w:t>
            </w:r>
          </w:p>
        </w:tc>
      </w:tr>
      <w:tr>
        <w:trPr>
          <w:trHeight w:val="285" w:hRule="atLeast"/>
        </w:trPr>
        <w:tc>
          <w:tcPr>
            <w:tcW w:w="2214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Praca Zbiorowa</w:t>
            </w:r>
          </w:p>
        </w:tc>
        <w:tc>
          <w:tcPr>
            <w:tcW w:w="5143" w:type="dxa"/>
            <w:tcBorders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Pewny start. Wokół pór roku – wokół zimy</w:t>
            </w:r>
          </w:p>
        </w:tc>
        <w:tc>
          <w:tcPr>
            <w:tcW w:w="1669" w:type="dxa"/>
            <w:tcBorders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PWN</w:t>
            </w:r>
          </w:p>
        </w:tc>
      </w:tr>
      <w:tr>
        <w:trPr>
          <w:trHeight w:val="555" w:hRule="atLeast"/>
        </w:trPr>
        <w:tc>
          <w:tcPr>
            <w:tcW w:w="2214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Praca Zbiorowa</w:t>
            </w:r>
          </w:p>
        </w:tc>
        <w:tc>
          <w:tcPr>
            <w:tcW w:w="5143" w:type="dxa"/>
            <w:tcBorders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Pewny start. Wokół pór roku – wokół wiosny, wokół lata</w:t>
            </w:r>
          </w:p>
        </w:tc>
        <w:tc>
          <w:tcPr>
            <w:tcW w:w="1669" w:type="dxa"/>
            <w:tcBorders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PWN</w:t>
            </w:r>
          </w:p>
        </w:tc>
      </w:tr>
      <w:tr>
        <w:trPr>
          <w:trHeight w:val="825" w:hRule="atLeast"/>
        </w:trPr>
        <w:tc>
          <w:tcPr>
            <w:tcW w:w="2214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Joanna Hryń,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Anna Minkiewicz, Krystyna Rapiej</w:t>
            </w:r>
          </w:p>
        </w:tc>
        <w:tc>
          <w:tcPr>
            <w:tcW w:w="5143" w:type="dxa"/>
            <w:tcBorders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 xml:space="preserve">Pewny Start. Aktywni zawodowo.   Ogrodnictwo cz.1   </w:t>
            </w:r>
          </w:p>
        </w:tc>
        <w:tc>
          <w:tcPr>
            <w:tcW w:w="1669" w:type="dxa"/>
            <w:tcBorders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PWN</w:t>
            </w:r>
          </w:p>
        </w:tc>
      </w:tr>
      <w:tr>
        <w:trPr>
          <w:trHeight w:val="555" w:hRule="atLeast"/>
        </w:trPr>
        <w:tc>
          <w:tcPr>
            <w:tcW w:w="2214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Joanna Hryń,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Krystyna Rapiej</w:t>
            </w:r>
          </w:p>
        </w:tc>
        <w:tc>
          <w:tcPr>
            <w:tcW w:w="5143" w:type="dxa"/>
            <w:tcBorders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 xml:space="preserve">Pewny Start.  ABC Pracy w kuchni 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Materiał Edukacyjny</w:t>
            </w:r>
          </w:p>
        </w:tc>
        <w:tc>
          <w:tcPr>
            <w:tcW w:w="1669" w:type="dxa"/>
            <w:tcBorders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PWN</w:t>
            </w:r>
          </w:p>
        </w:tc>
      </w:tr>
      <w:tr>
        <w:trPr>
          <w:trHeight w:val="555" w:hRule="atLeast"/>
        </w:trPr>
        <w:tc>
          <w:tcPr>
            <w:tcW w:w="2214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Joanna Hryń,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Krystyna Rapiej</w:t>
            </w:r>
          </w:p>
        </w:tc>
        <w:tc>
          <w:tcPr>
            <w:tcW w:w="5143" w:type="dxa"/>
            <w:tcBorders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Pewny Start.  Zajęcia kulinarne. Materiał Edukacyjny</w:t>
            </w:r>
          </w:p>
        </w:tc>
        <w:tc>
          <w:tcPr>
            <w:tcW w:w="1669" w:type="dxa"/>
            <w:tcBorders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PWN</w:t>
            </w:r>
          </w:p>
        </w:tc>
      </w:tr>
      <w:tr>
        <w:trPr>
          <w:trHeight w:val="555" w:hRule="atLeast"/>
        </w:trPr>
        <w:tc>
          <w:tcPr>
            <w:tcW w:w="2214" w:type="dxa"/>
            <w:tcBorders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Praca Zbiorowa</w:t>
            </w:r>
          </w:p>
        </w:tc>
        <w:tc>
          <w:tcPr>
            <w:tcW w:w="5143" w:type="dxa"/>
            <w:tcBorders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Pewny Start. Aktywni zawodowo.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 xml:space="preserve">Prace porządkowe.  cz.1   </w:t>
            </w:r>
          </w:p>
        </w:tc>
        <w:tc>
          <w:tcPr>
            <w:tcW w:w="1669" w:type="dxa"/>
            <w:tcBorders>
              <w:end w:val="single" w:sz="6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PWN</w:t>
            </w:r>
          </w:p>
        </w:tc>
      </w:tr>
    </w:tbl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W w:w="946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660"/>
        <w:gridCol w:w="5103"/>
        <w:gridCol w:w="1701"/>
      </w:tblGrid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A. Borowska-Kociemba, </w:t>
              <w:br/>
              <w:t xml:space="preserve">M. Krukowska 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Funkcjonowanie osobiste i społeczne.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</w:t>
            </w:r>
            <w:hyperlink r:id="rId19" w:tgtFrame="_blank">
              <w:r>
                <w:rPr>
                  <w:rStyle w:val="Style3"/>
                  <w:rFonts w:eastAsia="Times New Roman" w:cs="Times New Roman" w:ascii="Times New Roman" w:hAnsi="Times New Roman"/>
                  <w:sz w:val="24"/>
                  <w:szCs w:val="24"/>
                </w:rPr>
                <w:t xml:space="preserve">Karty pracy dla uczniów z niepełnosprawnością intelektualną – Wiosna. 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Harmonia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A. Borowska-Kociemba, </w:t>
              <w:br/>
              <w:t xml:space="preserve">M. Krukowska 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Funkcjonowanie osobiste i społeczne.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</w:t>
            </w:r>
            <w:hyperlink r:id="rId20" w:tgtFrame="_blank">
              <w:r>
                <w:rPr>
                  <w:rStyle w:val="Style3"/>
                  <w:rFonts w:eastAsia="Times New Roman" w:cs="Times New Roman" w:ascii="Times New Roman" w:hAnsi="Times New Roman"/>
                  <w:sz w:val="24"/>
                  <w:szCs w:val="24"/>
                </w:rPr>
                <w:t>Karty pracy dla uczniów z niepełnosprawnością intelektualną - Lato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Harmonia</w:t>
            </w:r>
          </w:p>
        </w:tc>
      </w:tr>
      <w:tr>
        <w:trPr>
          <w:trHeight w:val="671" w:hRule="atLeast"/>
        </w:trPr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A. Borowska-Kociemba, </w:t>
              <w:br/>
              <w:t xml:space="preserve">M. Krukowska 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Funkcjonowanie osobiste i społeczne.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</w:t>
            </w:r>
            <w:hyperlink r:id="rId21" w:tgtFrame="_blank">
              <w:r>
                <w:rPr>
                  <w:rStyle w:val="Style3"/>
                  <w:rFonts w:eastAsia="Times New Roman" w:cs="Times New Roman" w:ascii="Times New Roman" w:hAnsi="Times New Roman"/>
                  <w:sz w:val="24"/>
                  <w:szCs w:val="24"/>
                </w:rPr>
                <w:t>Karty pracy dla uczniów z niepełnosprawnością intelektualną - Jesień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Harmonia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A. Borowska-Kociemba, </w:t>
              <w:br/>
              <w:t xml:space="preserve">M. Krukowska 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Funkcjonowanie osobiste i społeczne.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hyperlink r:id="rId22" w:tgtFrame="_blank">
              <w:r>
                <w:rPr>
                  <w:rStyle w:val="Style3"/>
                  <w:rFonts w:eastAsia="Times New Roman" w:cs="Times New Roman" w:ascii="Times New Roman" w:hAnsi="Times New Roman"/>
                  <w:sz w:val="24"/>
                  <w:szCs w:val="24"/>
                </w:rPr>
                <w:t>Karty pracy dla uczniów z niepełnosprawnością intelektualną - Zima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Harmonia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A. Borowska-Kociemba, </w:t>
              <w:br/>
              <w:t>M. Krukowska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ing1"/>
              <w:shd w:val="clear" w:color="auto" w:fill="FFFFFF"/>
              <w:spacing w:lineRule="atLeast" w:line="300" w:before="0" w:after="75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Uczę się z kartami pracy. Karty pracy dla uczniów z niepełnosprawnością intelektualną z elementami przysposobienia do pracy. Część 1. </w:t>
            </w:r>
            <w:r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Harmonia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A. Borowska-Kociemba, </w:t>
              <w:br/>
              <w:t>M. Krukowska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ing1"/>
              <w:shd w:val="clear" w:color="auto" w:fill="FFFFFF"/>
              <w:spacing w:lineRule="atLeast" w:line="300" w:before="0" w:after="75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Uczę się z kartami pracy. Karty pracy dla uczniów z niepełnosprawnością intelektualną z elementami przysposobienia do pracy. Część 2. </w:t>
            </w:r>
            <w:r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Harmonia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A. Borowska-Kociemba, </w:t>
              <w:br/>
              <w:t>M. Krukowska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ing1"/>
              <w:shd w:val="clear" w:color="auto" w:fill="FFFFFF"/>
              <w:spacing w:lineRule="atLeast" w:line="300" w:before="0" w:after="7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Uczę się z kartami pracy. Karty pracy dla uczniów z niepełnosprawnością intelektualną z elementami przysposobienia do pracy. Część 3.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Harmonia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A. Borowska-Kociemba, </w:t>
              <w:br/>
              <w:t>M. Krukowska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ing1"/>
              <w:shd w:val="clear" w:color="auto" w:fill="FFFFFF"/>
              <w:spacing w:lineRule="atLeast" w:line="300" w:before="0" w:after="75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Uczę się z kartami pracy. Karty pracy dla uczniów z niepełnosprawnością intelektualną z elementami przysposobienia do pracy. Część 4. </w:t>
            </w:r>
            <w:r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Harmonia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Style w:val="desc"/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Praca Zbiorowa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Pewny Start. Materiały ćwiczeniowe dla uczniów z niepełnosprawnością intelektualną - zestaw edukacyjny. 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WS PWN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Style w:val="desc"/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Praca Zbiorowa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highlight w:val="white"/>
              </w:rPr>
              <w:t xml:space="preserve">Pewny Start. Świat wokół mnie.Ja w bezpiecznym świecie     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WS PWN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Style w:val="desc"/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Praca Zbiorowa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Pewny Start. O dorosłości karty demonstracyjne           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WS PWN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Style w:val="desc"/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Praca Zbiorowa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Pewny Start.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highlight w:val="white"/>
              </w:rPr>
              <w:t xml:space="preserve"> O dorosłości. Box.                                   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WS PWN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Style w:val="desc"/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Praca Zbiorowa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highlight w:val="white"/>
              </w:rPr>
              <w:t xml:space="preserve">Pewny Start. Zajęcia rewalidacyjne. Percepcja słuchowa. Karty pracy           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WS PWN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Style w:val="desc"/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Praca Zbiorowa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highlight w:val="white"/>
              </w:rPr>
              <w:t xml:space="preserve">Pewny Start. Zajęcia rewalidacyjne. Koncentracja uwagi Karty pracy      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WS PWN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Style w:val="desc"/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Praca Zbiorowa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highlight w:val="white"/>
              </w:rPr>
              <w:t>Pewny Start. Świat wokół mnie. Układam, opowiadam. Historyjki obrazkowe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WS PWN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Style w:val="desc"/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Praca Zbiorowa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highlight w:val="white"/>
              </w:rPr>
              <w:t>Pewny Start.  Świat wokół mnie. Emocje.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WS PWN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Style w:val="desc"/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Praca Zbiorowa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highlight w:val="white"/>
              </w:rPr>
              <w:t xml:space="preserve">Pewny Start. Mój dobry rok. Matematyka karty pracy.            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WS PWN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Style w:val="desc"/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Praca Zbiorowa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highlight w:val="white"/>
              </w:rPr>
              <w:t xml:space="preserve">Pewny Start. Wokół pór roku. Pakiet.                                 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WS PWN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Style w:val="desc"/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Praca Zbiorowa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highlight w:val="white"/>
              </w:rPr>
              <w:t>Pewny Start. Świat wokół mnie. Materiał edukacyjny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WS PWN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Style w:val="desc"/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Praca Zbiorowa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Pewny Start. Mój dobry rok. Pakiet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WS PWN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Style w:val="desc"/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Praca Zbiorowa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Pewny Start. Zajęcia rewalidacyjne ”Grafomotoryka”      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WS PWN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Style w:val="desc"/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Praca Zbiorowa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Pewny Start. Wokół pór roku. Pakiet                                       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WS PWN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Style w:val="desc"/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Praca Zbiorowa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Pewny Start. Mój dobry rok. Przyroda                                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WS PWN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Style w:val="desc"/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Praca Zbiorowa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Pewny Start. Wokół pór roku. Materiały edukacyjne.               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WS PWN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Style w:val="desc"/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Praca Zbiorowa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highlight w:val="white"/>
              </w:rPr>
              <w:t>Pewny Start.  Grafomotoryka.  Karty pracy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WS PWN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Style w:val="desc"/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Praca Zbiorowa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highlight w:val="white"/>
              </w:rPr>
              <w:t>Pewny Start. Materiał edukacyjny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WS PWN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Style w:val="desc"/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Praca Zbiorowa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highlight w:val="white"/>
              </w:rPr>
              <w:t xml:space="preserve">Pewny Start. Zajęcia rewalidacyjne.  Funkcjonowanie społeczne. Karty Pracy                   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WS PWN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Style w:val="desc"/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Praca Zbiorowa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 xml:space="preserve">Pewny Start    Świat wokół mnie                             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WS PWN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Style w:val="desc"/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Praca Zbiorowa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Pewny Start. Zajęcia rewalidacyjne. Percepcja wzrokowa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WS PWN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Style w:val="desc"/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Praca Zbiorowa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highlight w:val="white"/>
              </w:rPr>
              <w:t>Pewny Start. Orientacja przestrzenna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WS PWN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Style w:val="desc"/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Praca Zbiorowa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Pewny Start. Mój dobry rok. Pakiet kart pracy.       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WS PWN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Style w:val="desc"/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Praca Zbiorowa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Pewny Start. Mój dobry rok. Pakiet zeszytów.              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WS PWN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Style w:val="desc"/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Praca Zbiorowa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Pewny Start. O dorosłości. Co mogę robić?                                                    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WS PWN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Style w:val="desc"/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Praca Zbiorowa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Pewny Start. Świat wokół mnie. Ja i mój dom.                            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WS PWN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Style w:val="desc"/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Praca Zbiorowa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Pewny Start. Pierwsze kroki w kuchni. Mój dobry rok.                 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WS PWN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Style w:val="desc"/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Praca Zbiorowa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Pewny Start., Wypowiedzi ustne i pisemne                 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WS PWN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Style w:val="desc"/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Praca Zbiorowa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Pewny start instrukcje zachowań :     Bezpieczeństwo na drodze 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Choroba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Dobre maniery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Kawiarnia 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Nagłe zdarzenie                                                                     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WS PWN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Style w:val="desc"/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Praca Zbiorowa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Pewny start. O dorosłości. Lubię gotować. Książka kucharska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WS PWN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Style w:val="desc"/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Praca Zbiorowa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Tropiciele. Kl.3 Box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WSiP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Style w:val="desc"/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Praca Zbiorowa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Ćwiczenia z pomysłem   kl.1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WSiP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Style w:val="desc"/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Praca Zbiorowa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Ćwiczenia z pomysłem   kl.3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WSiP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Style w:val="desc"/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Praca Zbiorowa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Liczę coraz  lepiej .Zeszyt B,C   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Nowa Era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Style w:val="desc"/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Praca Zbiorowa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Chcę wiedzieć więcej. Zeszyt A,B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Nowa Era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Style w:val="desc"/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Praca Zbiorowa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Papierowe składanki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Nowa Era</w:t>
            </w:r>
          </w:p>
        </w:tc>
      </w:tr>
      <w:tr>
        <w:trPr/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Style w:val="desc"/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Praca Zbiorowa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Elementarz XXI wieku kl. 2                    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Nowa Era</w:t>
            </w:r>
          </w:p>
        </w:tc>
      </w:tr>
    </w:tbl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Na podstawie propozycji nauczycieli SOSW Nr 1</w:t>
      </w:r>
    </w:p>
    <w:sectPr>
      <w:footerReference w:type="even" r:id="rId23"/>
      <w:footerReference w:type="default" r:id="rId24"/>
      <w:footerReference w:type="first" r:id="rId25"/>
      <w:type w:val="nextPage"/>
      <w:pgSz w:w="11906" w:h="16838"/>
      <w:pgMar w:left="1440" w:right="1440" w:gutter="0" w:header="0" w:top="568" w:footer="446" w:bottom="709"/>
      <w:pgNumType w:start="1" w:fmt="decimal"/>
      <w:formProt w:val="false"/>
      <w:textDirection w:val="lrTb"/>
      <w:docGrid w:type="default" w:linePitch="299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1521272424"/>
      <w:docPartObj>
        <w:docPartGallery w:val="Page Numbers (Bottom of Page)"/>
        <w:docPartUnique w:val="true"/>
      </w:docPartObj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1521272424"/>
      <w:docPartObj>
        <w:docPartGallery w:val="Page Numbers (Bottom of Page)"/>
        <w:docPartUnique w:val="true"/>
      </w:docPartObj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69"/>
  <w:embedTrueTypeFonts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pl-PL" w:eastAsia="pl-PL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40" w:after="80"/>
      <w:outlineLvl w:val="5"/>
    </w:pPr>
    <w:rPr>
      <w:i/>
      <w:iCs/>
      <w:color w:val="66666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15529c"/>
    <w:rPr/>
  </w:style>
  <w:style w:type="character" w:styleId="StopkaZnak" w:customStyle="1">
    <w:name w:val="Stopka Znak"/>
    <w:basedOn w:val="DefaultParagraphFont"/>
    <w:uiPriority w:val="99"/>
    <w:qFormat/>
    <w:rsid w:val="0015529c"/>
    <w:rPr/>
  </w:style>
  <w:style w:type="character" w:styleId="apple-converted-space" w:customStyle="1">
    <w:name w:val="apple-converted-space"/>
    <w:basedOn w:val="DefaultParagraphFont"/>
    <w:qFormat/>
    <w:rsid w:val="00ba0903"/>
    <w:rPr/>
  </w:style>
  <w:style w:type="character" w:styleId="desc" w:customStyle="1">
    <w:name w:val="desc"/>
    <w:basedOn w:val="DefaultParagraphFont"/>
    <w:qFormat/>
    <w:rsid w:val="00ba0903"/>
    <w:rPr/>
  </w:style>
  <w:style w:type="character" w:styleId="Hyperlink">
    <w:name w:val="Hyperlink"/>
    <w:rPr>
      <w:color w:val="000080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uiPriority w:val="10"/>
    <w:qFormat/>
    <w:pPr>
      <w:keepNext w:val="true"/>
      <w:keepLines/>
      <w:spacing w:before="0"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0" w:after="320"/>
    </w:pPr>
    <w:rPr>
      <w:color w:val="666666"/>
      <w:sz w:val="30"/>
      <w:szCs w:val="30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15529c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unhideWhenUsed/>
    <w:rsid w:val="0015529c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ListParagraph">
    <w:name w:val="List Paragraph"/>
    <w:basedOn w:val="Normal"/>
    <w:uiPriority w:val="34"/>
    <w:qFormat/>
    <w:rsid w:val="00713a99"/>
    <w:pPr>
      <w:spacing w:before="0" w:after="0"/>
      <w:ind w:start="720"/>
      <w:contextualSpacing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taniaksiazka.pl/autor/irena-zarzycka" TargetMode="External"/><Relationship Id="rId3" Type="http://schemas.openxmlformats.org/officeDocument/2006/relationships/hyperlink" Target="https://www.taniaksiazka.pl/autor/kinga-preibisz-wala" TargetMode="External"/><Relationship Id="rId4" Type="http://schemas.openxmlformats.org/officeDocument/2006/relationships/hyperlink" Target="https://www.taniaksiazka.pl/autor/ewa-schumacher" TargetMode="External"/><Relationship Id="rId5" Type="http://schemas.openxmlformats.org/officeDocument/2006/relationships/hyperlink" Target="https://www.taniaksiazka.pl/autor/irena-zarzycka" TargetMode="External"/><Relationship Id="rId6" Type="http://schemas.openxmlformats.org/officeDocument/2006/relationships/hyperlink" Target="https://www.taniaksiazka.pl/autor/kinga-preibisz-wala" TargetMode="External"/><Relationship Id="rId7" Type="http://schemas.openxmlformats.org/officeDocument/2006/relationships/hyperlink" Target="https://www.taniaksiazka.pl/autor/ewa-schumacher" TargetMode="External"/><Relationship Id="rId8" Type="http://schemas.openxmlformats.org/officeDocument/2006/relationships/hyperlink" Target="https://www.taniaksiazka.pl/autor/kamila-lyczek" TargetMode="External"/><Relationship Id="rId9" Type="http://schemas.openxmlformats.org/officeDocument/2006/relationships/hyperlink" Target="https://www.taniaksiazka.pl/autor/aneta-chankowska" TargetMode="External"/><Relationship Id="rId10" Type="http://schemas.openxmlformats.org/officeDocument/2006/relationships/hyperlink" Target="https://www.taniaksiazka.pl/autor/irena-zarzycka" TargetMode="External"/><Relationship Id="rId11" Type="http://schemas.openxmlformats.org/officeDocument/2006/relationships/hyperlink" Target="https://www.taniaksiazka.pl/autor/kinga-preibisz-wala" TargetMode="External"/><Relationship Id="rId12" Type="http://schemas.openxmlformats.org/officeDocument/2006/relationships/hyperlink" Target="https://www.taniaksiazka.pl/autor/ewa-schumacher" TargetMode="External"/><Relationship Id="rId13" Type="http://schemas.openxmlformats.org/officeDocument/2006/relationships/hyperlink" Target="https://www.taniaksiazka.pl/autor/irena-zarzycka" TargetMode="External"/><Relationship Id="rId14" Type="http://schemas.openxmlformats.org/officeDocument/2006/relationships/hyperlink" Target="https://www.taniaksiazka.pl/autor/kinga-preibisz-wala" TargetMode="External"/><Relationship Id="rId15" Type="http://schemas.openxmlformats.org/officeDocument/2006/relationships/hyperlink" Target="https://www.taniaksiazka.pl/autor/ewa-schumacher" TargetMode="External"/><Relationship Id="rId16" Type="http://schemas.openxmlformats.org/officeDocument/2006/relationships/hyperlink" Target="https://www.taniaksiazka.pl/autor/jadwiga-hanisz" TargetMode="External"/><Relationship Id="rId17" Type="http://schemas.openxmlformats.org/officeDocument/2006/relationships/hyperlink" Target="https://www.taniaksiazka.pl/autor/kamila-lyczek" TargetMode="External"/><Relationship Id="rId18" Type="http://schemas.openxmlformats.org/officeDocument/2006/relationships/hyperlink" Target="https://www.taniaksiazka.pl/autor/aneta-chankowska" TargetMode="External"/><Relationship Id="rId19" Type="http://schemas.openxmlformats.org/officeDocument/2006/relationships/hyperlink" Target="http://sklep.nowaszkola.com/karty-pracy-dla-uczniow-z-niepelnosprawnosciowa-intelektualna-wiosna-lato.html" TargetMode="External"/><Relationship Id="rId20" Type="http://schemas.openxmlformats.org/officeDocument/2006/relationships/hyperlink" Target="http://sklep.nowaszkola.com/karty-pracy-dla-uczniow-z-niepelnosprawnosciowa-intelektualna-wiosna-lato.html" TargetMode="External"/><Relationship Id="rId21" Type="http://schemas.openxmlformats.org/officeDocument/2006/relationships/hyperlink" Target="http://sklep.nowaszkola.com/karty-pracy-dla-uczniow-z-niepelnosprawnosciowa-intelektualna-jesien.html" TargetMode="External"/><Relationship Id="rId22" Type="http://schemas.openxmlformats.org/officeDocument/2006/relationships/hyperlink" Target="http://sklep.nowaszkola.com/karty-pracy-dla-uczniow-z-niepelnosprawnosciowa-intelektualna-zima.html" TargetMode="External"/><Relationship Id="rId23" Type="http://schemas.openxmlformats.org/officeDocument/2006/relationships/footer" Target="footer1.xml"/><Relationship Id="rId24" Type="http://schemas.openxmlformats.org/officeDocument/2006/relationships/footer" Target="footer2.xml"/><Relationship Id="rId25" Type="http://schemas.openxmlformats.org/officeDocument/2006/relationships/footer" Target="footer3.xml"/><Relationship Id="rId26" Type="http://schemas.openxmlformats.org/officeDocument/2006/relationships/fontTable" Target="fontTable.xml"/><Relationship Id="rId27" Type="http://schemas.openxmlformats.org/officeDocument/2006/relationships/settings" Target="settings.xml"/><Relationship Id="rId28" Type="http://schemas.openxmlformats.org/officeDocument/2006/relationships/theme" Target="theme/theme1.xml"/><Relationship Id="rId2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35FB1D-3BCD-4D28-ABC5-1F7E046A1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Application>LibreOffice/26.2.5.2$Windows_X86_64 LibreOffice_project/cd7284b4cbbfeb507e630c1aac019f4157393acb</Application>
  <AppVersion>15.0000</AppVersion>
  <Pages>3</Pages>
  <Words>812</Words>
  <Characters>4943</Characters>
  <CharactersWithSpaces>6132</CharactersWithSpaces>
  <Paragraphs>222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2026-08-13T08:49:00Z</dcterms:created>
  <dc:creator>Lena Grzelaczyk</dc:creator>
  <dc:description/>
  <dc:language>pl-PL</dc:language>
  <cp:lastModifiedBy/>
  <dcterms:modified xsi:type="dcterms:W3CDTF">2026-08-19T08:43:32Z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